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华文新魏" w:eastAsia="华文新魏"/>
          <w:b/>
          <w:color w:val="008000"/>
          <w:sz w:val="72"/>
          <w:szCs w:val="72"/>
        </w:rPr>
      </w:pPr>
      <w:r>
        <w:rPr>
          <w:rFonts w:hint="eastAsia" w:ascii="华文新魏" w:eastAsia="华文新魏"/>
          <w:b/>
          <w:color w:val="008000"/>
          <w:sz w:val="72"/>
          <w:szCs w:val="72"/>
        </w:rPr>
        <w:t>绿化行业协会简报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楷体_GB2312" w:eastAsia="楷体_GB2312"/>
          <w:sz w:val="28"/>
          <w:szCs w:val="28"/>
        </w:rPr>
      </w:pPr>
      <w:r>
        <w:rPr>
          <w:rFonts w:hint="eastAsia" w:ascii="楷体_GB2312" w:eastAsia="楷体_GB2312"/>
          <w:sz w:val="28"/>
          <w:szCs w:val="28"/>
        </w:rPr>
        <w:t>第</w:t>
      </w:r>
      <w:r>
        <w:rPr>
          <w:rFonts w:hint="eastAsia" w:ascii="楷体_GB2312" w:eastAsia="楷体_GB2312"/>
          <w:sz w:val="28"/>
          <w:szCs w:val="28"/>
          <w:lang w:val="en-US" w:eastAsia="zh-CN"/>
        </w:rPr>
        <w:t>1</w:t>
      </w:r>
      <w:r>
        <w:rPr>
          <w:rFonts w:hint="eastAsia" w:ascii="楷体_GB2312" w:eastAsia="楷体_GB2312"/>
          <w:sz w:val="28"/>
          <w:szCs w:val="28"/>
        </w:rPr>
        <w:t>期（总第</w:t>
      </w:r>
      <w:r>
        <w:rPr>
          <w:rFonts w:hint="eastAsia" w:ascii="楷体_GB2312" w:eastAsia="楷体_GB2312"/>
          <w:sz w:val="28"/>
          <w:szCs w:val="28"/>
          <w:lang w:val="en-US" w:eastAsia="zh-CN"/>
        </w:rPr>
        <w:t>78</w:t>
      </w:r>
      <w:r>
        <w:rPr>
          <w:rFonts w:hint="eastAsia" w:ascii="楷体_GB2312" w:eastAsia="楷体_GB2312"/>
          <w:sz w:val="28"/>
          <w:szCs w:val="28"/>
        </w:rPr>
        <w:t>期）</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ascii="楷体_GB2312" w:eastAsia="楷体_GB2312"/>
          <w:sz w:val="28"/>
          <w:szCs w:val="28"/>
        </w:rPr>
      </w:pPr>
      <w:r>
        <w:rPr>
          <w:rFonts w:hint="eastAsia" w:ascii="楷体_GB2312" w:eastAsia="楷体_GB2312"/>
          <w:sz w:val="28"/>
          <w:szCs w:val="28"/>
        </w:rPr>
        <w:t>无锡市绿化行业协会秘书处                   201</w:t>
      </w:r>
      <w:r>
        <w:rPr>
          <w:rFonts w:hint="eastAsia" w:ascii="楷体_GB2312" w:eastAsia="楷体_GB2312"/>
          <w:sz w:val="28"/>
          <w:szCs w:val="28"/>
          <w:lang w:val="en-US" w:eastAsia="zh-CN"/>
        </w:rPr>
        <w:t>9</w:t>
      </w:r>
      <w:r>
        <w:rPr>
          <w:rFonts w:hint="eastAsia" w:ascii="楷体_GB2312" w:eastAsia="楷体_GB2312"/>
          <w:sz w:val="28"/>
          <w:szCs w:val="28"/>
        </w:rPr>
        <w:t>年</w:t>
      </w:r>
      <w:r>
        <w:rPr>
          <w:rFonts w:hint="eastAsia" w:ascii="楷体_GB2312" w:eastAsia="楷体_GB2312"/>
          <w:sz w:val="28"/>
          <w:szCs w:val="28"/>
          <w:lang w:val="en-US" w:eastAsia="zh-CN"/>
        </w:rPr>
        <w:t>1</w:t>
      </w:r>
      <w:r>
        <w:rPr>
          <w:rFonts w:hint="eastAsia" w:ascii="楷体_GB2312" w:eastAsia="楷体_GB2312"/>
          <w:sz w:val="28"/>
          <w:szCs w:val="28"/>
        </w:rPr>
        <w:t>月</w:t>
      </w:r>
      <w:r>
        <w:rPr>
          <w:rFonts w:hint="eastAsia" w:ascii="楷体_GB2312" w:eastAsia="楷体_GB2312"/>
          <w:sz w:val="28"/>
          <w:szCs w:val="28"/>
          <w:lang w:val="en-US" w:eastAsia="zh-CN"/>
        </w:rPr>
        <w:t>15</w:t>
      </w:r>
      <w:r>
        <w:rPr>
          <w:rFonts w:hint="eastAsia" w:ascii="楷体_GB2312" w:eastAsia="楷体_GB2312"/>
          <w:sz w:val="28"/>
          <w:szCs w:val="28"/>
        </w:rPr>
        <w:t>日</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hint="eastAsia" w:ascii="Source Han Sans Bold" w:hAnsi="Source Han Sans Bold" w:eastAsia="Source Han Sans Bold" w:cs="Source Han Sans Bold"/>
          <w:b/>
          <w:bCs/>
          <w:i w:val="0"/>
          <w:caps w:val="0"/>
          <w:color w:val="333333"/>
          <w:spacing w:val="30"/>
          <w:sz w:val="28"/>
          <w:szCs w:val="28"/>
          <w:shd w:val="clear" w:fill="FFFFFF"/>
          <w:lang w:eastAsia="zh-CN"/>
        </w:rPr>
      </w:pPr>
      <w:r>
        <w:rPr>
          <w:sz w:val="28"/>
          <w:szCs w:val="28"/>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226695</wp:posOffset>
                </wp:positionV>
                <wp:extent cx="2400300" cy="0"/>
                <wp:effectExtent l="0" t="13970" r="0" b="24130"/>
                <wp:wrapNone/>
                <wp:docPr id="9" name="直接连接符 9"/>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4pt;margin-top:17.85pt;height:0pt;width:189pt;z-index:251658240;mso-width-relative:page;mso-height-relative:page;" filled="f" stroked="t" coordsize="21600,21600" o:gfxdata="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Q/FV7XAAAACQEA&#10;AA8AAAAAAAAAAQAgAAAAIgAAAGRycy9kb3ducmV2LnhtbFBLAQIUABQAAAAIAIdO4kACCAKJ4gEA&#10;AKUDAAAOAAAAAAAAAAEAIAAAACYBAABkcnMvZTJvRG9jLnhtbFBLBQYAAAAABgAGAFkBAAB6BQAA&#10;AAA=&#10;">
                <v:fill on="f" focussize="0,0"/>
                <v:stroke weight="2.25pt" color="#FF0000" joinstyle="round"/>
                <v:imagedata o:title=""/>
                <o:lock v:ext="edit" aspectratio="f"/>
              </v:lin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28575</wp:posOffset>
                </wp:positionV>
                <wp:extent cx="342900" cy="326390"/>
                <wp:effectExtent l="14605" t="15240" r="23495" b="20320"/>
                <wp:wrapNone/>
                <wp:docPr id="11" name="五角星 11"/>
                <wp:cNvGraphicFramePr/>
                <a:graphic xmlns:a="http://schemas.openxmlformats.org/drawingml/2006/main">
                  <a:graphicData uri="http://schemas.microsoft.com/office/word/2010/wordprocessingShape">
                    <wps:wsp>
                      <wps:cNvSpPr/>
                      <wps:spPr>
                        <a:xfrm>
                          <a:off x="0" y="0"/>
                          <a:ext cx="342900" cy="326390"/>
                        </a:xfrm>
                        <a:prstGeom prst="star5">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shape id="_x0000_s1026" o:spid="_x0000_s1026" style="position:absolute;left:0pt;margin-left:198pt;margin-top:2.25pt;height:25.7pt;width:27pt;z-index:251659264;mso-width-relative:page;mso-height-relative:page;" fillcolor="#FF0000" filled="t" stroked="t" coordsize="342900,326390" o:gfxdata="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sxbd2QAAAAgBAAAPAAAAAAAAAAEAIAAAACIAAABkcnMvZG93bnJldi54bWxQSwECFAAUAAAA&#10;CACHTuJAUPi90+0BAADjAwAADgAAAAAAAAABACAAAAAoAQAAZHJzL2Uyb0RvYy54bWxQSwUGAAAA&#10;AAYABgBZAQAAhwUAAAAA&#10;" path="m0,124669l130976,124670,171450,0,211923,124670,342899,124669,236936,201719,277411,326389,171450,249338,65488,326389,105963,201719xe">
                <v:path o:connectlocs="171450,0;0,124669;65488,326389;277411,326389;342899,124669" o:connectangles="247,164,82,82,0"/>
                <v:fill on="t" focussize="0,0"/>
                <v:stroke color="#FF0000"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226695</wp:posOffset>
                </wp:positionV>
                <wp:extent cx="2400300" cy="0"/>
                <wp:effectExtent l="0" t="13970" r="0" b="24130"/>
                <wp:wrapNone/>
                <wp:docPr id="10" name="直接连接符 10"/>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7.85pt;height:0pt;width:189pt;z-index:251660288;mso-width-relative:page;mso-height-relative:page;" filled="f" stroked="t" coordsize="21600,21600" o:gfxdata="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ELfJ1QAAAAYBAAAP&#10;AAAAAAAAAAEAIAAAACIAAABkcnMvZG93bnJldi54bWxQSwECFAAUAAAACACHTuJAgbWxo+IBAACn&#10;AwAADgAAAAAAAAABACAAAAAkAQAAZHJzL2Uyb0RvYy54bWxQSwUGAAAAAAYABgBZAQAAeAUAAAAA&#10;">
                <v:fill on="f" focussize="0,0"/>
                <v:stroke weight="2.25pt" color="#FF0000" joinstyle="round"/>
                <v:imagedata o:title=""/>
                <o:lock v:ext="edit" aspectratio="f"/>
              </v:line>
            </w:pict>
          </mc:Fallback>
        </mc:AlternateContent>
      </w:r>
      <w:r>
        <w:rPr>
          <w:rFonts w:hint="eastAsia"/>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exact"/>
        <w:ind w:left="0" w:right="0" w:firstLine="0" w:firstLineChars="0"/>
        <w:jc w:val="both"/>
        <w:textAlignment w:val="auto"/>
        <w:rPr>
          <w:rFonts w:hint="eastAsia" w:ascii="Source Han Sans Bold" w:hAnsi="Source Han Sans Bold" w:eastAsia="Source Han Sans Bold" w:cs="Source Han Sans Bold"/>
          <w:b w:val="0"/>
          <w:bCs w:val="0"/>
          <w:i w:val="0"/>
          <w:caps w:val="0"/>
          <w:color w:val="333333"/>
          <w:spacing w:val="30"/>
          <w:sz w:val="28"/>
          <w:szCs w:val="28"/>
          <w:shd w:val="clear" w:fill="FFFFFF"/>
          <w:lang w:eastAsia="zh-CN"/>
        </w:rPr>
      </w:pPr>
      <w:r>
        <w:rPr>
          <w:rFonts w:hint="eastAsia" w:ascii="Source Han Sans Bold" w:hAnsi="Source Han Sans Bold" w:eastAsia="Source Han Sans Bold" w:cs="Source Han Sans Bold"/>
          <w:b/>
          <w:bCs/>
          <w:i w:val="0"/>
          <w:caps w:val="0"/>
          <w:color w:val="333333"/>
          <w:spacing w:val="30"/>
          <w:sz w:val="28"/>
          <w:szCs w:val="28"/>
          <w:shd w:val="clear" w:fill="FFFFFF"/>
          <w:lang w:eastAsia="zh-CN"/>
        </w:rPr>
        <w:t>编者按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624" w:firstLineChars="200"/>
        <w:jc w:val="both"/>
        <w:textAlignment w:val="auto"/>
        <w:rPr>
          <w:rFonts w:hint="eastAsia" w:asciiTheme="minorEastAsia" w:hAnsiTheme="minorEastAsia" w:eastAsiaTheme="minorEastAsia" w:cstheme="minorEastAsia"/>
          <w:b w:val="0"/>
          <w:bCs w:val="0"/>
          <w:i w:val="0"/>
          <w:caps w:val="0"/>
          <w:color w:val="333333"/>
          <w:spacing w:val="30"/>
          <w:w w:val="90"/>
          <w:sz w:val="28"/>
          <w:szCs w:val="28"/>
          <w:shd w:val="clear" w:fill="FFFFFF"/>
          <w:lang w:eastAsia="zh-CN"/>
        </w:rPr>
      </w:pPr>
      <w:r>
        <w:rPr>
          <w:rFonts w:hint="eastAsia" w:asciiTheme="minorEastAsia" w:hAnsiTheme="minorEastAsia" w:cstheme="minorEastAsia"/>
          <w:b w:val="0"/>
          <w:i w:val="0"/>
          <w:caps w:val="0"/>
          <w:color w:val="333333"/>
          <w:spacing w:val="30"/>
          <w:w w:val="90"/>
          <w:sz w:val="28"/>
          <w:szCs w:val="28"/>
          <w:shd w:val="clear" w:fill="FFFFFF"/>
          <w:lang w:val="en-US" w:eastAsia="zh-CN"/>
        </w:rPr>
        <w:t>新年伊始，为让大家充分了解国家对园林绿化行业的方针政策及发展趋势，现将</w:t>
      </w:r>
      <w:r>
        <w:rPr>
          <w:rFonts w:hint="eastAsia" w:asciiTheme="minorEastAsia" w:hAnsiTheme="minorEastAsia" w:eastAsiaTheme="minorEastAsia" w:cstheme="minorEastAsia"/>
          <w:b w:val="0"/>
          <w:i w:val="0"/>
          <w:caps w:val="0"/>
          <w:color w:val="333333"/>
          <w:spacing w:val="30"/>
          <w:w w:val="90"/>
          <w:sz w:val="28"/>
          <w:szCs w:val="28"/>
          <w:shd w:val="clear" w:fill="FFFFFF"/>
        </w:rPr>
        <w:t>国家住房和城乡建设部倪虹副部长</w:t>
      </w:r>
      <w:r>
        <w:rPr>
          <w:rFonts w:hint="eastAsia" w:asciiTheme="minorEastAsia" w:hAnsiTheme="minorEastAsia" w:cstheme="minorEastAsia"/>
          <w:b w:val="0"/>
          <w:i w:val="0"/>
          <w:caps w:val="0"/>
          <w:color w:val="333333"/>
          <w:spacing w:val="30"/>
          <w:w w:val="90"/>
          <w:sz w:val="28"/>
          <w:szCs w:val="28"/>
          <w:shd w:val="clear" w:fill="FFFFFF"/>
          <w:lang w:val="en-US" w:eastAsia="zh-CN"/>
        </w:rPr>
        <w:t>在2018</w:t>
      </w:r>
      <w:r>
        <w:rPr>
          <w:rFonts w:hint="eastAsia" w:asciiTheme="minorEastAsia" w:hAnsiTheme="minorEastAsia" w:eastAsiaTheme="minorEastAsia" w:cstheme="minorEastAsia"/>
          <w:b w:val="0"/>
          <w:i w:val="0"/>
          <w:caps w:val="0"/>
          <w:color w:val="333333"/>
          <w:spacing w:val="30"/>
          <w:w w:val="90"/>
          <w:sz w:val="28"/>
          <w:szCs w:val="28"/>
          <w:shd w:val="clear" w:fill="FFFFFF"/>
        </w:rPr>
        <w:t>年12月6日开幕的第十二届中国（南宁）国际园林博览会期间举行的园林论坛上</w:t>
      </w:r>
      <w:r>
        <w:rPr>
          <w:rFonts w:hint="eastAsia" w:asciiTheme="minorEastAsia" w:hAnsiTheme="minorEastAsia" w:cstheme="minorEastAsia"/>
          <w:b w:val="0"/>
          <w:i w:val="0"/>
          <w:caps w:val="0"/>
          <w:color w:val="333333"/>
          <w:spacing w:val="30"/>
          <w:w w:val="90"/>
          <w:sz w:val="28"/>
          <w:szCs w:val="28"/>
          <w:shd w:val="clear" w:fill="FFFFFF"/>
          <w:lang w:eastAsia="zh-CN"/>
        </w:rPr>
        <w:t>的</w:t>
      </w:r>
      <w:r>
        <w:rPr>
          <w:rFonts w:hint="eastAsia" w:asciiTheme="minorEastAsia" w:hAnsiTheme="minorEastAsia" w:eastAsiaTheme="minorEastAsia" w:cstheme="minorEastAsia"/>
          <w:b w:val="0"/>
          <w:i w:val="0"/>
          <w:caps w:val="0"/>
          <w:color w:val="333333"/>
          <w:spacing w:val="30"/>
          <w:w w:val="90"/>
          <w:sz w:val="28"/>
          <w:szCs w:val="28"/>
          <w:shd w:val="clear" w:fill="FFFFFF"/>
        </w:rPr>
        <w:t>讲话</w:t>
      </w:r>
      <w:r>
        <w:rPr>
          <w:rFonts w:hint="eastAsia" w:asciiTheme="minorEastAsia" w:hAnsiTheme="minorEastAsia" w:cstheme="minorEastAsia"/>
          <w:b w:val="0"/>
          <w:i w:val="0"/>
          <w:caps w:val="0"/>
          <w:color w:val="333333"/>
          <w:spacing w:val="30"/>
          <w:w w:val="90"/>
          <w:sz w:val="28"/>
          <w:szCs w:val="28"/>
          <w:shd w:val="clear" w:fill="FFFFFF"/>
          <w:lang w:eastAsia="zh-CN"/>
        </w:rPr>
        <w:t>予以转摘，供大家学习。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0" w:firstLineChars="0"/>
        <w:jc w:val="center"/>
        <w:textAlignment w:val="auto"/>
        <w:rPr>
          <w:rFonts w:hint="eastAsia" w:ascii="Source Han Sans Bold" w:hAnsi="Source Han Sans Bold" w:eastAsia="Source Han Sans Bold" w:cs="Source Han Sans Bold"/>
          <w:b/>
          <w:bCs/>
          <w:i w:val="0"/>
          <w:caps w:val="0"/>
          <w:color w:val="333333"/>
          <w:spacing w:val="30"/>
          <w:sz w:val="36"/>
          <w:szCs w:val="36"/>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00" w:lineRule="exact"/>
        <w:ind w:left="0" w:right="0" w:firstLine="0" w:firstLineChars="0"/>
        <w:jc w:val="center"/>
        <w:textAlignment w:val="auto"/>
        <w:rPr>
          <w:rFonts w:hint="eastAsia" w:ascii="Source Han Sans Bold" w:hAnsi="Source Han Sans Bold" w:eastAsia="Source Han Sans Bold" w:cs="Source Han Sans Bold"/>
          <w:b/>
          <w:bCs/>
          <w:i w:val="0"/>
          <w:caps w:val="0"/>
          <w:color w:val="333333"/>
          <w:spacing w:val="30"/>
          <w:sz w:val="36"/>
          <w:szCs w:val="36"/>
          <w:shd w:val="clear" w:fill="FFFFFF"/>
        </w:rPr>
      </w:pPr>
      <w:r>
        <w:rPr>
          <w:rFonts w:hint="eastAsia" w:ascii="Source Han Sans Bold" w:hAnsi="Source Han Sans Bold" w:eastAsia="Source Han Sans Bold" w:cs="Source Han Sans Bold"/>
          <w:b/>
          <w:bCs/>
          <w:i w:val="0"/>
          <w:caps w:val="0"/>
          <w:color w:val="333333"/>
          <w:spacing w:val="30"/>
          <w:sz w:val="36"/>
          <w:szCs w:val="36"/>
          <w:shd w:val="clear" w:fill="FFFFFF"/>
        </w:rPr>
        <w:t>新时代，新园林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0" w:firstLineChars="0"/>
        <w:jc w:val="center"/>
        <w:textAlignment w:val="auto"/>
        <w:rPr>
          <w:rFonts w:hint="eastAsia" w:asciiTheme="minorEastAsia" w:hAnsiTheme="minorEastAsia" w:eastAsiaTheme="minorEastAsia" w:cstheme="minorEastAsia"/>
          <w:b w:val="0"/>
          <w:i w:val="0"/>
          <w:caps w:val="0"/>
          <w:color w:val="333333"/>
          <w:spacing w:val="30"/>
          <w:sz w:val="28"/>
          <w:szCs w:val="28"/>
        </w:rPr>
      </w:pPr>
      <w:r>
        <w:rPr>
          <w:rFonts w:hint="eastAsia" w:asciiTheme="minorEastAsia" w:hAnsiTheme="minorEastAsia" w:cstheme="minorEastAsia"/>
          <w:b w:val="0"/>
          <w:i w:val="0"/>
          <w:caps w:val="0"/>
          <w:color w:val="333333"/>
          <w:spacing w:val="30"/>
          <w:sz w:val="28"/>
          <w:szCs w:val="28"/>
          <w:shd w:val="clear" w:fill="FFFFFF"/>
          <w:lang w:eastAsia="zh-CN"/>
        </w:rPr>
        <w:t>——</w:t>
      </w:r>
      <w:r>
        <w:rPr>
          <w:rFonts w:hint="eastAsia" w:asciiTheme="minorEastAsia" w:hAnsiTheme="minorEastAsia" w:eastAsiaTheme="minorEastAsia" w:cstheme="minorEastAsia"/>
          <w:b w:val="0"/>
          <w:i w:val="0"/>
          <w:caps w:val="0"/>
          <w:color w:val="333333"/>
          <w:spacing w:val="30"/>
          <w:sz w:val="28"/>
          <w:szCs w:val="28"/>
          <w:shd w:val="clear" w:fill="FFFFFF"/>
        </w:rPr>
        <w:t>国家住房和城乡建设部倪虹副部长</w:t>
      </w:r>
      <w:r>
        <w:rPr>
          <w:rFonts w:hint="eastAsia" w:asciiTheme="minorEastAsia" w:hAnsiTheme="minorEastAsia" w:cstheme="minorEastAsia"/>
          <w:b w:val="0"/>
          <w:i w:val="0"/>
          <w:caps w:val="0"/>
          <w:color w:val="333333"/>
          <w:spacing w:val="30"/>
          <w:sz w:val="28"/>
          <w:szCs w:val="28"/>
          <w:shd w:val="clear" w:fill="FFFFFF"/>
          <w:lang w:eastAsia="zh-CN"/>
        </w:rPr>
        <w:t>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682" w:firstLineChars="200"/>
        <w:jc w:val="both"/>
        <w:textAlignment w:val="auto"/>
        <w:rPr>
          <w:rFonts w:hint="eastAsia" w:ascii="黑体" w:hAnsi="黑体" w:eastAsia="黑体" w:cs="黑体"/>
          <w:b/>
          <w:bCs/>
          <w:i w:val="0"/>
          <w:caps w:val="0"/>
          <w:color w:val="auto"/>
          <w:spacing w:val="30"/>
          <w:sz w:val="28"/>
          <w:szCs w:val="28"/>
        </w:rPr>
      </w:pPr>
      <w:r>
        <w:rPr>
          <w:rFonts w:hint="eastAsia" w:ascii="黑体" w:hAnsi="黑体" w:eastAsia="黑体" w:cs="黑体"/>
          <w:b/>
          <w:bCs/>
          <w:i w:val="0"/>
          <w:caps w:val="0"/>
          <w:color w:val="auto"/>
          <w:spacing w:val="30"/>
          <w:sz w:val="28"/>
          <w:szCs w:val="28"/>
          <w:shd w:val="clear" w:fill="FFFFFF"/>
        </w:rPr>
        <w:t>一、深入学习贯彻习近平生态文明思想和党的十九大精神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习近平总书记强调：建设生态文明是中华民族永续发展的千年大计。必须树立和践行绿水青山就是金山银山的理念，坚持节约资源和保护环境的基本国策，像对待生命一样对待生态环境，统筹山水林田湖草系统治理，形成绿色发展方式和生活方式，建设美丽中国。要体现尊重自然、顺应自然、天人合一的理念，依托现有山水脉络等独特风光，让城市融入大自然，让居民望得见山、看得见水、记得住乡愁。要坚定文化自信，保护弘扬中华优秀传统文化，延续城市历史文脉，保护好前人留下的文化遗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党的十九大报告指出：中国特色社会主义进入新时代，我国社会主要矛盾已经转化为人民日益增长的美好生活需要和不平衡不充分的发展之间的矛盾。必须坚定不移贯彻创新、协调、绿色、开放、共享的发展理念，坚持以人民为中心，把人民对美好生活的向往作为奋斗目标，既要创造更多物质财富和精神财富以满足人民日益增长的美好生活需要，也要提供更多优质生态产品以满足人民日益增长的优美生态环境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党中央、国务院相继出台了《关于进一步加强城市规划建设管理工作的若干意见》《关于全面加强生态环境保护</w:t>
      </w:r>
      <w:r>
        <w:rPr>
          <w:rFonts w:hint="eastAsia" w:asciiTheme="minorEastAsia" w:hAnsiTheme="minorEastAsia" w:cstheme="minorEastAsia"/>
          <w:b w:val="0"/>
          <w:i w:val="0"/>
          <w:caps w:val="0"/>
          <w:color w:val="333333"/>
          <w:spacing w:val="8"/>
          <w:sz w:val="28"/>
          <w:szCs w:val="28"/>
          <w:shd w:val="clear" w:fill="FFFFFF"/>
          <w:lang w:eastAsia="zh-CN"/>
        </w:rPr>
        <w:t>，</w:t>
      </w:r>
      <w:r>
        <w:rPr>
          <w:rFonts w:hint="eastAsia" w:asciiTheme="minorEastAsia" w:hAnsiTheme="minorEastAsia" w:eastAsiaTheme="minorEastAsia" w:cstheme="minorEastAsia"/>
          <w:b w:val="0"/>
          <w:i w:val="0"/>
          <w:caps w:val="0"/>
          <w:color w:val="333333"/>
          <w:spacing w:val="8"/>
          <w:sz w:val="28"/>
          <w:szCs w:val="28"/>
          <w:shd w:val="clear" w:fill="FFFFFF"/>
        </w:rPr>
        <w:t>坚决打好污染防治攻坚战的意见》等一系列文件，对城市建设管理领域中落实生态文明的要求做出了部署，要求：“落实生态保护红线、环境质量底线、资源利用上线硬约束，推动形成绿色发展方式和生活方式，坚决打赢蓝天保卫战，着力打好碧水保卫战，扎实推进净土保卫战，加快生态保护与修复”；提出：“实现城市有序建设、适度开发、高效运行，努力打造和谐宜居、富有活力、各具特色的现代化城市，让人民生活更美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这些要求给园林绿化工作指明了方向。园林绿化是践行习近平生态文明思想、建设美丽中国的重要内容，是推动城市绿色发展、服务绿色生活的重要手段。全行业要深入学习并贯彻落实习近平生态文明思想和党的十九大精神，大力开展园林绿化建设，构筑尊崇自然、绿色发展的生态体系，满足人民群众对良好生态环境和美好生活的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黑体" w:hAnsi="黑体" w:eastAsia="黑体" w:cs="黑体"/>
          <w:b w:val="0"/>
          <w:i w:val="0"/>
          <w:caps w:val="0"/>
          <w:color w:val="auto"/>
          <w:spacing w:val="8"/>
          <w:sz w:val="28"/>
          <w:szCs w:val="28"/>
        </w:rPr>
      </w:pPr>
      <w:r>
        <w:rPr>
          <w:rFonts w:hint="eastAsia" w:ascii="黑体" w:hAnsi="黑体" w:eastAsia="黑体" w:cs="黑体"/>
          <w:b w:val="0"/>
          <w:i w:val="0"/>
          <w:caps w:val="0"/>
          <w:color w:val="auto"/>
          <w:spacing w:val="8"/>
          <w:sz w:val="28"/>
          <w:szCs w:val="28"/>
          <w:shd w:val="clear" w:fill="FFFFFF"/>
        </w:rPr>
        <w:t>二、全面总结改革开放40年园林绿化建设取得的成就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改革开放40年来，园林绿化建设取得了巨大的成就。城市建成区绿地面积由1981年的11万公顷增加到2017年的209.9万公顷；人均公园绿地面积由1981年的1.5平方米增加到2017年的14.01平方米。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297" w:firstLineChars="100"/>
        <w:jc w:val="both"/>
        <w:textAlignment w:val="auto"/>
        <w:rPr>
          <w:rFonts w:hint="eastAsia" w:asciiTheme="minorEastAsia" w:hAnsiTheme="minorEastAsia" w:eastAsiaTheme="minorEastAsia" w:cstheme="minorEastAsia"/>
          <w:b/>
          <w:bCs/>
          <w:i w:val="0"/>
          <w:caps w:val="0"/>
          <w:color w:val="333333"/>
          <w:spacing w:val="8"/>
          <w:sz w:val="28"/>
          <w:szCs w:val="28"/>
        </w:rPr>
      </w:pPr>
      <w:r>
        <w:rPr>
          <w:rFonts w:hint="eastAsia" w:asciiTheme="minorEastAsia" w:hAnsiTheme="minorEastAsia" w:eastAsiaTheme="minorEastAsia" w:cstheme="minorEastAsia"/>
          <w:b/>
          <w:bCs/>
          <w:i w:val="0"/>
          <w:caps w:val="0"/>
          <w:color w:val="333333"/>
          <w:spacing w:val="8"/>
          <w:sz w:val="28"/>
          <w:szCs w:val="28"/>
          <w:shd w:val="clear" w:fill="FFFFFF"/>
        </w:rPr>
        <w:t>（一）园林绿化推动城市绿色发展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园林绿化作为有生命力的城市基础设施，不仅有效改善了城市生态环境和生活品质，更促进了城市和区域的绿色发展。各地大力推进城市绿地系统规划，构建以各类绿地为基础的城市生态网络体系，推进城市建设向尊重自然、合理布局、彰显特色、优化环境的方向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297" w:firstLineChars="100"/>
        <w:jc w:val="both"/>
        <w:textAlignment w:val="auto"/>
        <w:rPr>
          <w:rFonts w:hint="eastAsia" w:asciiTheme="minorEastAsia" w:hAnsiTheme="minorEastAsia" w:eastAsiaTheme="minorEastAsia" w:cstheme="minorEastAsia"/>
          <w:b/>
          <w:bCs/>
          <w:i w:val="0"/>
          <w:caps w:val="0"/>
          <w:color w:val="333333"/>
          <w:spacing w:val="8"/>
          <w:sz w:val="28"/>
          <w:szCs w:val="28"/>
        </w:rPr>
      </w:pPr>
      <w:r>
        <w:rPr>
          <w:rFonts w:hint="eastAsia" w:asciiTheme="minorEastAsia" w:hAnsiTheme="minorEastAsia" w:eastAsiaTheme="minorEastAsia" w:cstheme="minorEastAsia"/>
          <w:b/>
          <w:bCs/>
          <w:i w:val="0"/>
          <w:caps w:val="0"/>
          <w:color w:val="333333"/>
          <w:spacing w:val="8"/>
          <w:sz w:val="28"/>
          <w:szCs w:val="28"/>
          <w:shd w:val="clear" w:fill="FFFFFF"/>
        </w:rPr>
        <w:t>（二）园林绿化为民服务能力增强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园林绿化的本质是营造良好的人居环境，发挥了休闲游憩、景观营造、文化传承、科普教育、防灾避险等综合功能。公园绿地已经成为广大人民群众工作、居住场所之外的“第三生活空间”。近年来，全国城市各类公园数量快速增长，园林绿化服务能力不断增强，多数城市公园绿地500米服务半径覆盖率接近或超过80%。截至2017年，全国建成公园15633个，公园面积达到44.5万公顷，城市公园免费开放率达到了93%。园林绿化的民生效应不断放大，社会关注程度不断提高，发展成果赢得了全社会广泛认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297" w:firstLineChars="100"/>
        <w:jc w:val="both"/>
        <w:textAlignment w:val="auto"/>
        <w:rPr>
          <w:rFonts w:hint="eastAsia" w:asciiTheme="minorEastAsia" w:hAnsiTheme="minorEastAsia" w:eastAsiaTheme="minorEastAsia" w:cstheme="minorEastAsia"/>
          <w:b/>
          <w:bCs/>
          <w:i w:val="0"/>
          <w:caps w:val="0"/>
          <w:color w:val="333333"/>
          <w:spacing w:val="8"/>
          <w:sz w:val="28"/>
          <w:szCs w:val="28"/>
        </w:rPr>
      </w:pPr>
      <w:r>
        <w:rPr>
          <w:rFonts w:hint="eastAsia" w:asciiTheme="minorEastAsia" w:hAnsiTheme="minorEastAsia" w:eastAsiaTheme="minorEastAsia" w:cstheme="minorEastAsia"/>
          <w:b/>
          <w:bCs/>
          <w:i w:val="0"/>
          <w:caps w:val="0"/>
          <w:color w:val="333333"/>
          <w:spacing w:val="8"/>
          <w:sz w:val="28"/>
          <w:szCs w:val="28"/>
          <w:shd w:val="clear" w:fill="FFFFFF"/>
        </w:rPr>
        <w:t>（三）园林城市创建活动卓有成效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自1992年开展园林城市创建活动以来，得到了各地城市人民政府的积极响应，引起了社会各界广泛关注和积极参与，逐渐形成了园林城镇、园林县城、园林城市、生态园林城市的发展体系和省级、国家级的结构体系。截至2017年，共建成11个国家生态园林城市，345个国家园林城市，291个国家园林县城，66个国家园林城镇。经过二十余年的实践与探索，园林城市建设已经成为各级政府办实事、抓民生、树形象的有力抓手，成为满足人民群众美好生活的优质生态产品，成为打造宜居宜业宜游城市的重要内容。各地通过园林城市建设，树立了生态文明理念，顺应了民心民意民愿，推动了城市绿色发展，提升了城市宜居品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297" w:firstLineChars="100"/>
        <w:jc w:val="both"/>
        <w:textAlignment w:val="auto"/>
        <w:rPr>
          <w:rFonts w:hint="eastAsia" w:asciiTheme="minorEastAsia" w:hAnsiTheme="minorEastAsia" w:eastAsiaTheme="minorEastAsia" w:cstheme="minorEastAsia"/>
          <w:b/>
          <w:bCs/>
          <w:i w:val="0"/>
          <w:caps w:val="0"/>
          <w:color w:val="333333"/>
          <w:spacing w:val="8"/>
          <w:sz w:val="28"/>
          <w:szCs w:val="28"/>
        </w:rPr>
      </w:pPr>
      <w:r>
        <w:rPr>
          <w:rFonts w:hint="eastAsia" w:asciiTheme="minorEastAsia" w:hAnsiTheme="minorEastAsia" w:eastAsiaTheme="minorEastAsia" w:cstheme="minorEastAsia"/>
          <w:b/>
          <w:bCs/>
          <w:i w:val="0"/>
          <w:caps w:val="0"/>
          <w:color w:val="333333"/>
          <w:spacing w:val="8"/>
          <w:sz w:val="28"/>
          <w:szCs w:val="28"/>
          <w:shd w:val="clear" w:fill="FFFFFF"/>
        </w:rPr>
        <w:t>（四）园林绿化建设管理更加科学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园林绿化规划设计、建设施工与管养机制逐步完善。大多数城市已经完成了城市绿地系统规划编制和绿线划定工作，建立了绿线管制和公示制度，为保护城市绿化成果提供了有效手段。园林绿地规划建设更加科学，因地制宜、资源节约、量质并举、彰显特色的科学发展理念深入人心。侵占公园绿地、违规经营会所等现象得到有效遏制。园林绿化基础研究和政策保障不断加强，一系列技术标准规范相继出台，有效提升了园林绿化行业规范化管理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黑体" w:hAnsi="黑体" w:eastAsia="黑体" w:cs="黑体"/>
          <w:b w:val="0"/>
          <w:bCs w:val="0"/>
          <w:i w:val="0"/>
          <w:caps w:val="0"/>
          <w:color w:val="auto"/>
          <w:spacing w:val="8"/>
          <w:sz w:val="28"/>
          <w:szCs w:val="28"/>
        </w:rPr>
      </w:pPr>
      <w:r>
        <w:rPr>
          <w:rFonts w:hint="eastAsia" w:ascii="黑体" w:hAnsi="黑体" w:eastAsia="黑体" w:cs="黑体"/>
          <w:b w:val="0"/>
          <w:bCs w:val="0"/>
          <w:i w:val="0"/>
          <w:caps w:val="0"/>
          <w:color w:val="auto"/>
          <w:spacing w:val="8"/>
          <w:sz w:val="28"/>
          <w:szCs w:val="28"/>
          <w:shd w:val="clear" w:fill="FFFFFF"/>
        </w:rPr>
        <w:t>三、凝心聚力，展望新时代，发展新园林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当前，园林绿化建设已经进入了由数量增长向量质并举转变的新时期，全行业将面临新挑战，大家要在思想上用新观念，工作中用新举措，共同努力创造和书写新时代园林绿化事业的新篇章。展望新时代，发展新园林，我们坚持以习近平新时代中国特色社会主义思想为指导，坚持以人民为中心，贯彻落实新发展理念，坚持科学绿化、因地制宜，走科学、生态、节俭的绿化发展之路，久久为功、善作善成，发动全社会共同缔造美好环境，促进城市高质量发展，推动美丽中国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297" w:firstLineChars="100"/>
        <w:jc w:val="both"/>
        <w:textAlignment w:val="auto"/>
        <w:rPr>
          <w:rFonts w:hint="eastAsia" w:asciiTheme="minorEastAsia" w:hAnsiTheme="minorEastAsia" w:eastAsiaTheme="minorEastAsia" w:cstheme="minorEastAsia"/>
          <w:b/>
          <w:bCs/>
          <w:i w:val="0"/>
          <w:caps w:val="0"/>
          <w:color w:val="333333"/>
          <w:spacing w:val="8"/>
          <w:sz w:val="28"/>
          <w:szCs w:val="28"/>
        </w:rPr>
      </w:pPr>
      <w:r>
        <w:rPr>
          <w:rFonts w:hint="eastAsia" w:asciiTheme="minorEastAsia" w:hAnsiTheme="minorEastAsia" w:eastAsiaTheme="minorEastAsia" w:cstheme="minorEastAsia"/>
          <w:b/>
          <w:bCs/>
          <w:i w:val="0"/>
          <w:caps w:val="0"/>
          <w:color w:val="333333"/>
          <w:spacing w:val="8"/>
          <w:sz w:val="28"/>
          <w:szCs w:val="28"/>
          <w:shd w:val="clear" w:fill="FFFFFF"/>
        </w:rPr>
        <w:t>（一）坚持以人民为中心的发展思想，不断提升为民服务能力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以满足群众休憩健身需求为导向，不断拓展城市公共活动空间。既要通过园林绿化建设美化城市环境，更要让人民群众可进入、可享用，同美好环境融为一体。要进一步提升城市公园绿地的总量，逐步形成布局合理、类型丰富、设施完善的公园体系。优化绿地系统布局，按照“300米见绿、500米见园”的目标，通过留白增绿、拆违建绿、见缝插绿、破硬植绿等方式，在中心城区、老城区增加社区公园、街头游园等小微绿地，把公园建在市民家门口。因地制宜打开封闭的景观绿地，合理设置步道、座椅、小广场等，为百姓提供舒适宜人的荫下活动场地。推动公园人性化设计，因地制宜调整大草坪和大色块，合理设置多元化活动空间，实施分时分区管理，满足不同人群需要。完善公园配套服务设施，增强群众游园的便利性和舒适性。以郊野公园、湿地公园、绿道等建设为抓手，统筹兼顾生态防护、休闲游憩、科普教育等多种功能，满足人民群众美好生活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297" w:firstLineChars="100"/>
        <w:jc w:val="both"/>
        <w:textAlignment w:val="auto"/>
        <w:rPr>
          <w:rFonts w:hint="eastAsia" w:asciiTheme="minorEastAsia" w:hAnsiTheme="minorEastAsia" w:eastAsiaTheme="minorEastAsia" w:cstheme="minorEastAsia"/>
          <w:b/>
          <w:bCs/>
          <w:i w:val="0"/>
          <w:caps w:val="0"/>
          <w:color w:val="333333"/>
          <w:spacing w:val="8"/>
          <w:sz w:val="28"/>
          <w:szCs w:val="28"/>
        </w:rPr>
      </w:pPr>
      <w:r>
        <w:rPr>
          <w:rFonts w:hint="eastAsia" w:asciiTheme="minorEastAsia" w:hAnsiTheme="minorEastAsia" w:eastAsiaTheme="minorEastAsia" w:cstheme="minorEastAsia"/>
          <w:b/>
          <w:bCs/>
          <w:i w:val="0"/>
          <w:caps w:val="0"/>
          <w:color w:val="333333"/>
          <w:spacing w:val="8"/>
          <w:sz w:val="28"/>
          <w:szCs w:val="28"/>
          <w:shd w:val="clear" w:fill="FFFFFF"/>
        </w:rPr>
        <w:t>（二）坚持以自然为美，促进城市与自然山水的有机融合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完善绿地系统规划，合理布局绿带、绿心、绿楔、绿环、绿廊等城市结构性绿地，使城市内部的绿地、水系同城市外围河湖、森林、耕地有机连接，把好山好水好风光融入城市。依托城市间山脉、水系、骨干道路，建设生态廊道，加强水系生态岸线建设，有效连接各生态空间，保护生物多样性，形成完整的生态网络，实现水清岸绿、蓝绿交融的多功能复合生态景观。坚持因地制宜、适地适树，提高乡土植物应用比例，形成多树种、多层次、多色彩的近自然城市绿化特色。推进城市生态环境保护和修复，再现自然之美。积极开展城市河湖湿地修复，改造硬化河道驳岸，恢复滩涂湿地生态功能。对裸露破损山体、边坡陡坡、垃圾填埋场等进行生态修复。加强长江经济带城市滨水绿带建设，着力建设沿江绿色生态廊道，促进长江生态环境修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297" w:firstLineChars="100"/>
        <w:jc w:val="both"/>
        <w:textAlignment w:val="auto"/>
        <w:rPr>
          <w:rFonts w:hint="eastAsia" w:asciiTheme="minorEastAsia" w:hAnsiTheme="minorEastAsia" w:eastAsiaTheme="minorEastAsia" w:cstheme="minorEastAsia"/>
          <w:b/>
          <w:bCs/>
          <w:i w:val="0"/>
          <w:caps w:val="0"/>
          <w:color w:val="333333"/>
          <w:spacing w:val="8"/>
          <w:sz w:val="28"/>
          <w:szCs w:val="28"/>
        </w:rPr>
      </w:pPr>
      <w:r>
        <w:rPr>
          <w:rFonts w:hint="eastAsia" w:asciiTheme="minorEastAsia" w:hAnsiTheme="minorEastAsia" w:eastAsiaTheme="minorEastAsia" w:cstheme="minorEastAsia"/>
          <w:b/>
          <w:bCs/>
          <w:i w:val="0"/>
          <w:caps w:val="0"/>
          <w:color w:val="333333"/>
          <w:spacing w:val="8"/>
          <w:sz w:val="28"/>
          <w:szCs w:val="28"/>
          <w:shd w:val="clear" w:fill="FFFFFF"/>
        </w:rPr>
        <w:t>（三）坚定文化自信，传承弘扬中国园林文化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shd w:val="clear" w:fill="FFFFFF"/>
        </w:rPr>
      </w:pPr>
      <w:r>
        <w:rPr>
          <w:rFonts w:hint="eastAsia" w:asciiTheme="minorEastAsia" w:hAnsiTheme="minorEastAsia" w:eastAsiaTheme="minorEastAsia" w:cstheme="minorEastAsia"/>
          <w:b w:val="0"/>
          <w:i w:val="0"/>
          <w:caps w:val="0"/>
          <w:color w:val="333333"/>
          <w:spacing w:val="8"/>
          <w:sz w:val="28"/>
          <w:szCs w:val="28"/>
          <w:shd w:val="clear" w:fill="FFFFFF"/>
        </w:rPr>
        <w:t>传承弘扬天人合一、师法自然的中国园林文化精髓，坚持人与自然和谐共生，融入时代精神。充分尊重城市自然山水和地形地貌，通过园林绿化建设，塑造城市的特色风貌，提升城市整体形象，增强城市文化自信，建设风景如画的美丽城市，尤其要避免开山造地、填湖填海等错误倾向。注重保护历史名园，弘扬中国优秀园林文化。加强国际园林文化交流，做好中国国际园林博览会工作，进一步推动中国园林走出去。通过举办市民喜闻乐见的园艺植物、庭院设计、自然科普等讲座和服务活动，增强群众的园林文化体验和绿色获得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right="0" w:firstLine="297" w:firstLineChars="100"/>
        <w:jc w:val="both"/>
        <w:textAlignment w:val="auto"/>
        <w:rPr>
          <w:rFonts w:hint="eastAsia" w:asciiTheme="minorEastAsia" w:hAnsiTheme="minorEastAsia" w:eastAsiaTheme="minorEastAsia" w:cstheme="minorEastAsia"/>
          <w:b/>
          <w:bCs/>
          <w:i w:val="0"/>
          <w:caps w:val="0"/>
          <w:color w:val="333333"/>
          <w:spacing w:val="8"/>
          <w:sz w:val="28"/>
          <w:szCs w:val="28"/>
        </w:rPr>
      </w:pPr>
      <w:r>
        <w:rPr>
          <w:rFonts w:hint="eastAsia" w:asciiTheme="minorEastAsia" w:hAnsiTheme="minorEastAsia" w:eastAsiaTheme="minorEastAsia" w:cstheme="minorEastAsia"/>
          <w:b/>
          <w:bCs/>
          <w:i w:val="0"/>
          <w:caps w:val="0"/>
          <w:color w:val="333333"/>
          <w:spacing w:val="8"/>
          <w:sz w:val="28"/>
          <w:szCs w:val="28"/>
          <w:shd w:val="clear" w:fill="FFFFFF"/>
        </w:rPr>
        <w:t>（四）健全监督考核机制，开展精细化管理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强化园林绿化管理，健全城市园林绿化监督检查、生态环境保护责任追究等制度。强化绿线管制制度，加强绿地保护执法检查和遥感监测，加大对各类破坏和侵占绿地行为的处罚力度。建立城市绿地系统规划中期评估机制，对规划实施情况进行跟踪分析和评价。继续发挥国家园林城市创建活动的激励作用，完善园林绿化指标考核体系，把为民服务、生态效益等体现新时代生态文明要求的指标纳入考评体系。全面提高园林绿化管理养护的专业化和精细化水平。发展智慧园林，按照服务公众、服务管理这两个方向，抓住“互联网+”带来的新机遇，加强信息化建设，探索人工智能在公园和绿道的应用体验新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297" w:firstLineChars="100"/>
        <w:jc w:val="both"/>
        <w:textAlignment w:val="auto"/>
        <w:rPr>
          <w:rFonts w:hint="eastAsia" w:asciiTheme="minorEastAsia" w:hAnsiTheme="minorEastAsia" w:eastAsiaTheme="minorEastAsia" w:cstheme="minorEastAsia"/>
          <w:b/>
          <w:bCs/>
          <w:i w:val="0"/>
          <w:caps w:val="0"/>
          <w:color w:val="333333"/>
          <w:spacing w:val="8"/>
          <w:sz w:val="28"/>
          <w:szCs w:val="28"/>
        </w:rPr>
      </w:pPr>
      <w:r>
        <w:rPr>
          <w:rFonts w:hint="eastAsia" w:asciiTheme="minorEastAsia" w:hAnsiTheme="minorEastAsia" w:eastAsiaTheme="minorEastAsia" w:cstheme="minorEastAsia"/>
          <w:b/>
          <w:bCs/>
          <w:i w:val="0"/>
          <w:caps w:val="0"/>
          <w:color w:val="333333"/>
          <w:spacing w:val="8"/>
          <w:sz w:val="28"/>
          <w:szCs w:val="28"/>
          <w:shd w:val="clear" w:fill="FFFFFF"/>
        </w:rPr>
        <w:t>（五）加大社会宣传，推进美好环境共同缔造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00" w:lineRule="exact"/>
        <w:ind w:left="0" w:right="0" w:firstLine="592" w:firstLineChars="200"/>
        <w:jc w:val="both"/>
        <w:textAlignment w:val="auto"/>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园林绿化是大众受益的公共产品，要充分利用电视、报纸等传统媒介及微博、微信等新媒体，采取群众喜闻乐见、易于接受的方式，广泛开展绿色生活宣传教育，加大全社会共建共享园林绿化，创建园林城市的宣传力度，通过“激发群众参与、凝聚群众共识、塑造群众精神”，实现“让群众满意、让群众幸福”。鼓励各企事业单位拆墙透绿，营造共享城市绿化成果的良好氛围；采取市民园长、绿色志愿者、认建认养等措施，开展美丽家园共建共享共治绿色行动，组织发动全社会参与城市园林绿化。培育绿色活动品牌，组织开展园林单位、园林学校、园林小区、花园家庭等活动，倡导公众共同参与生态环境保护，建设天蓝地绿水净的城市人居环境。</w:t>
      </w:r>
    </w:p>
    <w:p>
      <w:pPr>
        <w:keepNext w:val="0"/>
        <w:keepLines w:val="0"/>
        <w:pageBreakBefore w:val="0"/>
        <w:kinsoku/>
        <w:wordWrap/>
        <w:overflowPunct/>
        <w:topLinePunct w:val="0"/>
        <w:autoSpaceDE/>
        <w:autoSpaceDN/>
        <w:bidi w:val="0"/>
        <w:adjustRightInd/>
        <w:snapToGrid/>
        <w:spacing w:line="300" w:lineRule="exact"/>
        <w:ind w:firstLine="594" w:firstLineChars="200"/>
        <w:textAlignment w:val="auto"/>
      </w:pPr>
      <w:r>
        <w:rPr>
          <w:rStyle w:val="4"/>
          <w:rFonts w:hint="eastAsia" w:asciiTheme="minorEastAsia" w:hAnsiTheme="minorEastAsia" w:eastAsiaTheme="minorEastAsia" w:cstheme="minorEastAsia"/>
          <w:i w:val="0"/>
          <w:caps w:val="0"/>
          <w:color w:val="333333"/>
          <w:spacing w:val="8"/>
          <w:sz w:val="28"/>
          <w:szCs w:val="28"/>
          <w:shd w:val="clear" w:fill="FFFFFF"/>
        </w:rPr>
        <w:t>同志们，园林绿化事业任重道远，让我们携起手来，紧密团</w:t>
      </w:r>
      <w:bookmarkStart w:id="0" w:name="_GoBack"/>
      <w:bookmarkEnd w:id="0"/>
      <w:r>
        <w:rPr>
          <w:rStyle w:val="4"/>
          <w:rFonts w:hint="eastAsia" w:asciiTheme="minorEastAsia" w:hAnsiTheme="minorEastAsia" w:eastAsiaTheme="minorEastAsia" w:cstheme="minorEastAsia"/>
          <w:i w:val="0"/>
          <w:caps w:val="0"/>
          <w:color w:val="333333"/>
          <w:spacing w:val="8"/>
          <w:sz w:val="28"/>
          <w:szCs w:val="28"/>
          <w:shd w:val="clear" w:fill="FFFFFF"/>
        </w:rPr>
        <w:t>结在以习近平同志为核心的党中央周围，坚决贯彻落实党中央、国务院决策部署，共同为实现中华民族伟大复兴的中国梦努力奋斗，为建设美丽中国贡献力量，以优异成绩迎接祖国七十华诞！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urce Han Sans Bold">
    <w:panose1 w:val="020B0800000000000000"/>
    <w:charset w:val="86"/>
    <w:family w:val="auto"/>
    <w:pitch w:val="default"/>
    <w:sig w:usb0="30000003" w:usb1="2BDF3C10" w:usb2="00000016" w:usb3="00000000" w:csb0="602E0107"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A65D8"/>
    <w:rsid w:val="5E9A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2019-01-16T07:28:00Z</dcterms:created>
  <dc:creator>Administrator</dc:creator>
  <cp:lastModifiedBy>Administrator</cp:lastModifiedBy>
  <dcterms:modified xsi:type="dcterms:W3CDTF">2019-01-16T07:43:41Z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